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27A70" w14:textId="77777777" w:rsidR="00FE067E" w:rsidRPr="00CC6E59" w:rsidRDefault="00CD36CF" w:rsidP="00CC1F3B">
      <w:pPr>
        <w:pStyle w:val="TitlePageOrigin"/>
        <w:rPr>
          <w:color w:val="auto"/>
        </w:rPr>
      </w:pPr>
      <w:r w:rsidRPr="00CC6E59">
        <w:rPr>
          <w:color w:val="auto"/>
        </w:rPr>
        <w:t>WEST virginia legislature</w:t>
      </w:r>
    </w:p>
    <w:p w14:paraId="73AFE730" w14:textId="7BBBF3BC" w:rsidR="00CD36CF" w:rsidRPr="00CC6E59" w:rsidRDefault="00CD36CF" w:rsidP="00CC1F3B">
      <w:pPr>
        <w:pStyle w:val="TitlePageSession"/>
        <w:rPr>
          <w:color w:val="auto"/>
        </w:rPr>
      </w:pPr>
      <w:r w:rsidRPr="00CC6E59">
        <w:rPr>
          <w:color w:val="auto"/>
        </w:rPr>
        <w:t>20</w:t>
      </w:r>
      <w:r w:rsidR="007F29DD" w:rsidRPr="00CC6E59">
        <w:rPr>
          <w:color w:val="auto"/>
        </w:rPr>
        <w:t>2</w:t>
      </w:r>
      <w:r w:rsidR="00743F31" w:rsidRPr="00CC6E59">
        <w:rPr>
          <w:color w:val="auto"/>
        </w:rPr>
        <w:t>6</w:t>
      </w:r>
      <w:r w:rsidRPr="00CC6E59">
        <w:rPr>
          <w:color w:val="auto"/>
        </w:rPr>
        <w:t xml:space="preserve"> regular session</w:t>
      </w:r>
      <w:r w:rsidR="009829E4" w:rsidRPr="00CC6E59">
        <w:rPr>
          <w:noProof/>
          <w:color w:val="auto"/>
        </w:rPr>
        <mc:AlternateContent>
          <mc:Choice Requires="wps">
            <w:drawing>
              <wp:anchor distT="0" distB="0" distL="114300" distR="114300" simplePos="0" relativeHeight="251659264" behindDoc="0" locked="0" layoutInCell="1" allowOverlap="1" wp14:anchorId="748271EC" wp14:editId="1B6F731B">
                <wp:simplePos x="0" y="0"/>
                <wp:positionH relativeFrom="column">
                  <wp:posOffset>6007100</wp:posOffset>
                </wp:positionH>
                <wp:positionV relativeFrom="paragraph">
                  <wp:posOffset>1617980</wp:posOffset>
                </wp:positionV>
                <wp:extent cx="635000" cy="476250"/>
                <wp:effectExtent l="0" t="0" r="12700" b="19050"/>
                <wp:wrapNone/>
                <wp:docPr id="76540266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4FA79BF" w14:textId="27A66CB7" w:rsidR="009829E4" w:rsidRPr="009829E4" w:rsidRDefault="009829E4" w:rsidP="009829E4">
                            <w:pPr>
                              <w:spacing w:line="240" w:lineRule="auto"/>
                              <w:jc w:val="center"/>
                              <w:rPr>
                                <w:rFonts w:cs="Arial"/>
                                <w:b/>
                              </w:rPr>
                            </w:pPr>
                            <w:r w:rsidRPr="009829E4">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8271EC"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4FA79BF" w14:textId="27A66CB7" w:rsidR="009829E4" w:rsidRPr="009829E4" w:rsidRDefault="009829E4" w:rsidP="009829E4">
                      <w:pPr>
                        <w:spacing w:line="240" w:lineRule="auto"/>
                        <w:jc w:val="center"/>
                        <w:rPr>
                          <w:rFonts w:cs="Arial"/>
                          <w:b/>
                        </w:rPr>
                      </w:pPr>
                      <w:r w:rsidRPr="009829E4">
                        <w:rPr>
                          <w:rFonts w:cs="Arial"/>
                          <w:b/>
                        </w:rPr>
                        <w:t>FISCAL NOTE</w:t>
                      </w:r>
                    </w:p>
                  </w:txbxContent>
                </v:textbox>
              </v:shape>
            </w:pict>
          </mc:Fallback>
        </mc:AlternateContent>
      </w:r>
    </w:p>
    <w:p w14:paraId="3E4507BC" w14:textId="77777777" w:rsidR="00CD36CF" w:rsidRPr="00CC6E59" w:rsidRDefault="00CD6A19" w:rsidP="00CC1F3B">
      <w:pPr>
        <w:pStyle w:val="TitlePageBillPrefix"/>
        <w:rPr>
          <w:color w:val="auto"/>
        </w:rPr>
      </w:pPr>
      <w:sdt>
        <w:sdtPr>
          <w:rPr>
            <w:color w:val="auto"/>
          </w:rPr>
          <w:tag w:val="IntroDate"/>
          <w:id w:val="-1236936958"/>
          <w:placeholder>
            <w:docPart w:val="2CFA54775F5A4D0FA8DE8A1A69C7CEF0"/>
          </w:placeholder>
          <w:text/>
        </w:sdtPr>
        <w:sdtEndPr/>
        <w:sdtContent>
          <w:r w:rsidR="00AE48A0" w:rsidRPr="00CC6E59">
            <w:rPr>
              <w:color w:val="auto"/>
            </w:rPr>
            <w:t>Introduced</w:t>
          </w:r>
        </w:sdtContent>
      </w:sdt>
    </w:p>
    <w:p w14:paraId="79469554" w14:textId="2A825F6C" w:rsidR="00CD36CF" w:rsidRPr="00CC6E59" w:rsidRDefault="00CD6A19" w:rsidP="00CC1F3B">
      <w:pPr>
        <w:pStyle w:val="BillNumber"/>
        <w:rPr>
          <w:color w:val="auto"/>
        </w:rPr>
      </w:pPr>
      <w:sdt>
        <w:sdtPr>
          <w:rPr>
            <w:color w:val="auto"/>
          </w:rPr>
          <w:tag w:val="Chamber"/>
          <w:id w:val="893011969"/>
          <w:lock w:val="sdtLocked"/>
          <w:placeholder>
            <w:docPart w:val="D190A56C2D544F35865BDFACAF1ED08C"/>
          </w:placeholder>
          <w:dropDownList>
            <w:listItem w:displayText="House" w:value="House"/>
            <w:listItem w:displayText="Senate" w:value="Senate"/>
          </w:dropDownList>
        </w:sdtPr>
        <w:sdtEndPr/>
        <w:sdtContent>
          <w:r w:rsidR="005D7E17" w:rsidRPr="00CC6E59">
            <w:rPr>
              <w:color w:val="auto"/>
            </w:rPr>
            <w:t>Senate</w:t>
          </w:r>
        </w:sdtContent>
      </w:sdt>
      <w:r w:rsidR="00303684" w:rsidRPr="00CC6E59">
        <w:rPr>
          <w:color w:val="auto"/>
        </w:rPr>
        <w:t xml:space="preserve"> </w:t>
      </w:r>
      <w:r w:rsidR="00CD36CF" w:rsidRPr="00CC6E59">
        <w:rPr>
          <w:color w:val="auto"/>
        </w:rPr>
        <w:t xml:space="preserve">Bill </w:t>
      </w:r>
      <w:sdt>
        <w:sdtPr>
          <w:rPr>
            <w:color w:val="auto"/>
          </w:rPr>
          <w:tag w:val="BNum"/>
          <w:id w:val="1645317809"/>
          <w:lock w:val="sdtLocked"/>
          <w:placeholder>
            <w:docPart w:val="A8AC6441D4A24B7C85140A989DCA03BD"/>
          </w:placeholder>
          <w:text/>
        </w:sdtPr>
        <w:sdtEndPr/>
        <w:sdtContent>
          <w:r w:rsidR="002735D2">
            <w:rPr>
              <w:color w:val="auto"/>
            </w:rPr>
            <w:t>577</w:t>
          </w:r>
        </w:sdtContent>
      </w:sdt>
    </w:p>
    <w:p w14:paraId="23DBB626" w14:textId="653AC7DB" w:rsidR="00CD36CF" w:rsidRPr="00CC6E59" w:rsidRDefault="00CD36CF" w:rsidP="00CC1F3B">
      <w:pPr>
        <w:pStyle w:val="Sponsors"/>
        <w:rPr>
          <w:color w:val="auto"/>
        </w:rPr>
      </w:pPr>
      <w:r w:rsidRPr="00CC6E59">
        <w:rPr>
          <w:color w:val="auto"/>
        </w:rPr>
        <w:t xml:space="preserve">By </w:t>
      </w:r>
      <w:sdt>
        <w:sdtPr>
          <w:rPr>
            <w:color w:val="auto"/>
          </w:rPr>
          <w:tag w:val="Sponsors"/>
          <w:id w:val="1589585889"/>
          <w:placeholder>
            <w:docPart w:val="1D10249D01B0471A8C382DAC39536BA2"/>
          </w:placeholder>
          <w:text w:multiLine="1"/>
        </w:sdtPr>
        <w:sdtEndPr/>
        <w:sdtContent>
          <w:r w:rsidR="00463B4B" w:rsidRPr="00CC6E59">
            <w:rPr>
              <w:color w:val="auto"/>
            </w:rPr>
            <w:t>Senator</w:t>
          </w:r>
          <w:r w:rsidR="00DC5A3C">
            <w:rPr>
              <w:color w:val="auto"/>
            </w:rPr>
            <w:t>s</w:t>
          </w:r>
          <w:r w:rsidR="00463B4B" w:rsidRPr="00CC6E59">
            <w:rPr>
              <w:color w:val="auto"/>
            </w:rPr>
            <w:t xml:space="preserve"> Garcia</w:t>
          </w:r>
          <w:r w:rsidR="00DC5A3C">
            <w:rPr>
              <w:color w:val="auto"/>
            </w:rPr>
            <w:t xml:space="preserve"> and Woelfel</w:t>
          </w:r>
        </w:sdtContent>
      </w:sdt>
    </w:p>
    <w:p w14:paraId="3EE78262" w14:textId="4B8E7CA3" w:rsidR="00E831B3" w:rsidRPr="00CC6E59" w:rsidRDefault="00CD36CF" w:rsidP="0040546B">
      <w:pPr>
        <w:pStyle w:val="References"/>
        <w:rPr>
          <w:color w:val="auto"/>
        </w:rPr>
      </w:pPr>
      <w:r w:rsidRPr="00CC6E59">
        <w:rPr>
          <w:color w:val="auto"/>
        </w:rPr>
        <w:t>[</w:t>
      </w:r>
      <w:sdt>
        <w:sdtPr>
          <w:rPr>
            <w:color w:val="auto"/>
          </w:rPr>
          <w:tag w:val="References"/>
          <w:id w:val="-1043047873"/>
          <w:placeholder>
            <w:docPart w:val="57B8762F6A61446D85C64B21DAB5D3F8"/>
          </w:placeholder>
          <w:text w:multiLine="1"/>
        </w:sdtPr>
        <w:sdtEndPr/>
        <w:sdtContent>
          <w:r w:rsidR="0040546B" w:rsidRPr="00CC6E59">
            <w:rPr>
              <w:color w:val="auto"/>
            </w:rPr>
            <w:t xml:space="preserve">Introduced </w:t>
          </w:r>
          <w:r w:rsidR="002735D2">
            <w:rPr>
              <w:color w:val="auto"/>
            </w:rPr>
            <w:t>January 22, 2026</w:t>
          </w:r>
          <w:r w:rsidR="0040546B" w:rsidRPr="00CC6E59">
            <w:rPr>
              <w:color w:val="auto"/>
            </w:rPr>
            <w:t>; referred</w:t>
          </w:r>
          <w:r w:rsidR="0040546B" w:rsidRPr="00CC6E59">
            <w:rPr>
              <w:color w:val="auto"/>
            </w:rPr>
            <w:br/>
            <w:t xml:space="preserve">to the Committee on </w:t>
          </w:r>
          <w:r w:rsidR="00CD6A19">
            <w:rPr>
              <w:color w:val="auto"/>
            </w:rPr>
            <w:t>Energy, Industry, and Mining; and then to the Committee on Finance</w:t>
          </w:r>
        </w:sdtContent>
      </w:sdt>
      <w:r w:rsidRPr="00CC6E59">
        <w:rPr>
          <w:color w:val="auto"/>
        </w:rPr>
        <w:t>]</w:t>
      </w:r>
    </w:p>
    <w:p w14:paraId="5281B461" w14:textId="073F9661" w:rsidR="00303684" w:rsidRPr="00CC6E59" w:rsidRDefault="0000526A" w:rsidP="00CC1F3B">
      <w:pPr>
        <w:pStyle w:val="TitleSection"/>
        <w:rPr>
          <w:color w:val="auto"/>
        </w:rPr>
      </w:pPr>
      <w:r w:rsidRPr="00CC6E59">
        <w:rPr>
          <w:color w:val="auto"/>
        </w:rPr>
        <w:lastRenderedPageBreak/>
        <w:t>A BILL</w:t>
      </w:r>
      <w:r w:rsidR="000D5966" w:rsidRPr="00CC6E59">
        <w:rPr>
          <w:color w:val="auto"/>
        </w:rPr>
        <w:t xml:space="preserve"> to amend the Code of West Virginia, 1931, as amended, by adding a new section, designated §24-2-4i, relating to electric and natural gas utility rate increases; setting forth findings; directing the Public Service Commission to implement a one-year moratorium on certain rate increases for electric and natural gas utilities; </w:t>
      </w:r>
      <w:r w:rsidR="002A21B4" w:rsidRPr="00CC6E59">
        <w:rPr>
          <w:color w:val="auto"/>
        </w:rPr>
        <w:t>providing exceptions to moratorium;</w:t>
      </w:r>
      <w:r w:rsidR="004C61FA" w:rsidRPr="00CC6E59">
        <w:rPr>
          <w:color w:val="auto"/>
        </w:rPr>
        <w:t xml:space="preserve"> and requiring legislative interim study of electric and natural gas utility rate increases.</w:t>
      </w:r>
    </w:p>
    <w:p w14:paraId="2A682219" w14:textId="23AB569B" w:rsidR="000D5966" w:rsidRPr="00CC6E59" w:rsidRDefault="00303684" w:rsidP="000D5966">
      <w:pPr>
        <w:pStyle w:val="EnactingClause"/>
        <w:rPr>
          <w:color w:val="auto"/>
        </w:rPr>
        <w:sectPr w:rsidR="000D5966" w:rsidRPr="00CC6E59" w:rsidSect="0040546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1"/>
          <w:cols w:space="720"/>
          <w:titlePg/>
          <w:docGrid w:linePitch="360"/>
        </w:sectPr>
      </w:pPr>
      <w:r w:rsidRPr="00CC6E59">
        <w:rPr>
          <w:color w:val="auto"/>
        </w:rPr>
        <w:t>Be it enacted by the Legislature of West Virginia:</w:t>
      </w:r>
      <w:r w:rsidR="000D5966" w:rsidRPr="00CC6E59">
        <w:rPr>
          <w:color w:val="auto"/>
        </w:rPr>
        <w:t xml:space="preserve"> </w:t>
      </w:r>
    </w:p>
    <w:p w14:paraId="0A6AC508" w14:textId="4A2DFD25" w:rsidR="009424BA" w:rsidRPr="00CC6E59" w:rsidRDefault="009424BA" w:rsidP="009424BA">
      <w:pPr>
        <w:pStyle w:val="ArticleHeading"/>
        <w:rPr>
          <w:color w:val="auto"/>
        </w:rPr>
      </w:pPr>
      <w:r w:rsidRPr="00CC6E59">
        <w:rPr>
          <w:color w:val="auto"/>
        </w:rPr>
        <w:t>Article 2. Powers and Duties of Public Service Commission.</w:t>
      </w:r>
    </w:p>
    <w:p w14:paraId="37BDB8F2" w14:textId="3CA7BF82" w:rsidR="000D5966" w:rsidRPr="00CC6E59" w:rsidRDefault="000D5966" w:rsidP="000D5966">
      <w:pPr>
        <w:pStyle w:val="SectionHeading"/>
        <w:rPr>
          <w:color w:val="auto"/>
          <w:u w:val="single"/>
        </w:rPr>
        <w:sectPr w:rsidR="000D5966" w:rsidRPr="00CC6E59" w:rsidSect="000D5966">
          <w:type w:val="continuous"/>
          <w:pgSz w:w="12240" w:h="15840" w:code="1"/>
          <w:pgMar w:top="1440" w:right="1440" w:bottom="1440" w:left="1440" w:header="720" w:footer="720" w:gutter="0"/>
          <w:lnNumType w:countBy="1" w:restart="newSection"/>
          <w:cols w:space="720"/>
          <w:titlePg/>
          <w:docGrid w:linePitch="360"/>
        </w:sectPr>
      </w:pPr>
      <w:r w:rsidRPr="00CC6E59">
        <w:rPr>
          <w:color w:val="auto"/>
          <w:u w:val="single"/>
        </w:rPr>
        <w:t>§24-2-4i. Temporary moratorium on electric and natural gas utility rate increases.</w:t>
      </w:r>
    </w:p>
    <w:p w14:paraId="1C409519" w14:textId="13AF6623" w:rsidR="000D5966" w:rsidRPr="00CC6E59" w:rsidRDefault="000D5966" w:rsidP="000D5966">
      <w:pPr>
        <w:pStyle w:val="SectionBody"/>
        <w:rPr>
          <w:color w:val="auto"/>
          <w:u w:val="single"/>
        </w:rPr>
      </w:pPr>
      <w:r w:rsidRPr="00CC6E59">
        <w:rPr>
          <w:color w:val="auto"/>
          <w:u w:val="single"/>
        </w:rPr>
        <w:t xml:space="preserve">(a) The Legislature hereby finds and declares </w:t>
      </w:r>
      <w:r w:rsidR="001177A9" w:rsidRPr="00CC6E59">
        <w:rPr>
          <w:color w:val="auto"/>
          <w:u w:val="single"/>
        </w:rPr>
        <w:t>as follows</w:t>
      </w:r>
      <w:r w:rsidRPr="00CC6E59">
        <w:rPr>
          <w:color w:val="auto"/>
          <w:u w:val="single"/>
        </w:rPr>
        <w:t>:</w:t>
      </w:r>
    </w:p>
    <w:p w14:paraId="2EC57A76" w14:textId="742DEC19" w:rsidR="001D090F" w:rsidRPr="00CC6E59" w:rsidRDefault="000D5966" w:rsidP="000D5966">
      <w:pPr>
        <w:pStyle w:val="SectionBody"/>
        <w:rPr>
          <w:color w:val="auto"/>
          <w:u w:val="single"/>
        </w:rPr>
      </w:pPr>
      <w:r w:rsidRPr="00CC6E59">
        <w:rPr>
          <w:color w:val="auto"/>
          <w:u w:val="single"/>
        </w:rPr>
        <w:t xml:space="preserve">(1) </w:t>
      </w:r>
      <w:r w:rsidR="001177A9" w:rsidRPr="00CC6E59">
        <w:rPr>
          <w:color w:val="auto"/>
          <w:u w:val="single"/>
        </w:rPr>
        <w:t xml:space="preserve">That </w:t>
      </w:r>
      <w:r w:rsidRPr="00CC6E59">
        <w:rPr>
          <w:color w:val="auto"/>
          <w:u w:val="single"/>
        </w:rPr>
        <w:t>West Virginia is rich in energy resources</w:t>
      </w:r>
      <w:r w:rsidR="001D090F" w:rsidRPr="00CC6E59">
        <w:rPr>
          <w:color w:val="auto"/>
          <w:u w:val="single"/>
        </w:rPr>
        <w:t>, and its abundant mineral reserves have created numerous benefits for the state, its citizens, and the country;</w:t>
      </w:r>
    </w:p>
    <w:p w14:paraId="5C7D5098" w14:textId="17FCE6B6" w:rsidR="001D090F" w:rsidRPr="00CC6E59" w:rsidRDefault="001D090F" w:rsidP="000D5966">
      <w:pPr>
        <w:pStyle w:val="SectionBody"/>
        <w:rPr>
          <w:color w:val="auto"/>
          <w:u w:val="single"/>
        </w:rPr>
      </w:pPr>
      <w:r w:rsidRPr="00CC6E59">
        <w:rPr>
          <w:color w:val="auto"/>
          <w:u w:val="single"/>
        </w:rPr>
        <w:t xml:space="preserve">(2) </w:t>
      </w:r>
      <w:r w:rsidR="001177A9" w:rsidRPr="00CC6E59">
        <w:rPr>
          <w:color w:val="auto"/>
          <w:u w:val="single"/>
        </w:rPr>
        <w:t>That, n</w:t>
      </w:r>
      <w:r w:rsidRPr="00CC6E59">
        <w:rPr>
          <w:color w:val="auto"/>
          <w:u w:val="single"/>
        </w:rPr>
        <w:t>evertheless, rates for electricity and natural gas charged to customers of all classes have risen dramatically in recent years, with customers facing near-constant rate increases to the extent that such increases have adversely affected all customer classes;</w:t>
      </w:r>
    </w:p>
    <w:p w14:paraId="3CEF3B40" w14:textId="67A33059" w:rsidR="001D090F" w:rsidRPr="00CC6E59" w:rsidRDefault="001D090F" w:rsidP="000D5966">
      <w:pPr>
        <w:pStyle w:val="SectionBody"/>
        <w:rPr>
          <w:color w:val="auto"/>
          <w:u w:val="single"/>
        </w:rPr>
      </w:pPr>
      <w:r w:rsidRPr="00CC6E59">
        <w:rPr>
          <w:color w:val="auto"/>
          <w:u w:val="single"/>
        </w:rPr>
        <w:t xml:space="preserve">(3) </w:t>
      </w:r>
      <w:r w:rsidR="001177A9" w:rsidRPr="00CC6E59">
        <w:rPr>
          <w:color w:val="auto"/>
          <w:u w:val="single"/>
        </w:rPr>
        <w:t>That e</w:t>
      </w:r>
      <w:r w:rsidRPr="00CC6E59">
        <w:rPr>
          <w:color w:val="auto"/>
          <w:u w:val="single"/>
        </w:rPr>
        <w:t>lectric and natural gas utility services are essential to the health and well-being of the state’s residents, to public safety, and to orderly economic development, with the cost of electric and natural gas services being important factors in decisions made by business concerning locating, expanding, and retaining facilities in West Virginia;</w:t>
      </w:r>
      <w:r w:rsidR="001177A9" w:rsidRPr="00CC6E59">
        <w:rPr>
          <w:color w:val="auto"/>
          <w:u w:val="single"/>
        </w:rPr>
        <w:t xml:space="preserve"> and</w:t>
      </w:r>
    </w:p>
    <w:p w14:paraId="097C9C40" w14:textId="258FF31E" w:rsidR="000D5966" w:rsidRPr="00CC6E59" w:rsidRDefault="001D090F" w:rsidP="001177A9">
      <w:pPr>
        <w:pStyle w:val="SectionBody"/>
        <w:rPr>
          <w:color w:val="auto"/>
          <w:u w:val="single"/>
        </w:rPr>
      </w:pPr>
      <w:r w:rsidRPr="00CC6E59">
        <w:rPr>
          <w:color w:val="auto"/>
          <w:u w:val="single"/>
        </w:rPr>
        <w:t xml:space="preserve">(4) </w:t>
      </w:r>
      <w:r w:rsidR="001177A9" w:rsidRPr="00CC6E59">
        <w:rPr>
          <w:color w:val="auto"/>
          <w:u w:val="single"/>
        </w:rPr>
        <w:t>That i</w:t>
      </w:r>
      <w:r w:rsidR="004E5940" w:rsidRPr="00CC6E59">
        <w:rPr>
          <w:color w:val="auto"/>
          <w:u w:val="single"/>
        </w:rPr>
        <w:t>t is imperative that the Legislature, in consultation and collaboration with the Public Service Commission, have the opportunity to properly study the issue</w:t>
      </w:r>
      <w:r w:rsidR="00CE2105" w:rsidRPr="00CC6E59">
        <w:rPr>
          <w:color w:val="auto"/>
          <w:u w:val="single"/>
        </w:rPr>
        <w:t>s</w:t>
      </w:r>
      <w:r w:rsidR="004E5940" w:rsidRPr="00CC6E59">
        <w:rPr>
          <w:color w:val="auto"/>
          <w:u w:val="single"/>
        </w:rPr>
        <w:t xml:space="preserve"> of </w:t>
      </w:r>
      <w:r w:rsidR="00CE2105" w:rsidRPr="00CC6E59">
        <w:rPr>
          <w:color w:val="auto"/>
          <w:u w:val="single"/>
        </w:rPr>
        <w:t xml:space="preserve">utility management, rate design, and </w:t>
      </w:r>
      <w:r w:rsidR="004E5940" w:rsidRPr="00CC6E59">
        <w:rPr>
          <w:color w:val="auto"/>
          <w:u w:val="single"/>
        </w:rPr>
        <w:t>electric and natural gas utility rate increases in the state</w:t>
      </w:r>
      <w:r w:rsidR="00CE2105" w:rsidRPr="00CC6E59">
        <w:rPr>
          <w:color w:val="auto"/>
          <w:u w:val="single"/>
        </w:rPr>
        <w:t xml:space="preserve"> specifically</w:t>
      </w:r>
      <w:r w:rsidR="004E5940" w:rsidRPr="00CC6E59">
        <w:rPr>
          <w:color w:val="auto"/>
          <w:u w:val="single"/>
        </w:rPr>
        <w:t>, in the absence of constant proposed rate increases and resulting rate case proceedings</w:t>
      </w:r>
      <w:r w:rsidR="001177A9" w:rsidRPr="00CC6E59">
        <w:rPr>
          <w:color w:val="auto"/>
          <w:u w:val="single"/>
        </w:rPr>
        <w:t>. T</w:t>
      </w:r>
      <w:r w:rsidRPr="00CC6E59">
        <w:rPr>
          <w:color w:val="auto"/>
          <w:u w:val="single"/>
        </w:rPr>
        <w:t>he Legislature, therefore, determines that it is in the best interest of the state</w:t>
      </w:r>
      <w:r w:rsidR="004E5940" w:rsidRPr="00CC6E59">
        <w:rPr>
          <w:color w:val="auto"/>
          <w:u w:val="single"/>
        </w:rPr>
        <w:t xml:space="preserve">, its citizens, and ratepayers to implement a </w:t>
      </w:r>
      <w:r w:rsidR="001177A9" w:rsidRPr="00CC6E59">
        <w:rPr>
          <w:color w:val="auto"/>
          <w:u w:val="single"/>
        </w:rPr>
        <w:t xml:space="preserve">statewide </w:t>
      </w:r>
      <w:r w:rsidR="00DB55C4" w:rsidRPr="00CC6E59">
        <w:rPr>
          <w:color w:val="auto"/>
          <w:u w:val="single"/>
        </w:rPr>
        <w:t>moratorium</w:t>
      </w:r>
      <w:r w:rsidR="004E5940" w:rsidRPr="00CC6E59">
        <w:rPr>
          <w:color w:val="auto"/>
          <w:u w:val="single"/>
        </w:rPr>
        <w:t xml:space="preserve"> on electric and natural gas utility rate increases</w:t>
      </w:r>
      <w:r w:rsidR="001177A9" w:rsidRPr="00CC6E59">
        <w:rPr>
          <w:color w:val="auto"/>
          <w:u w:val="single"/>
        </w:rPr>
        <w:t>.</w:t>
      </w:r>
    </w:p>
    <w:p w14:paraId="59E7734A" w14:textId="77777777" w:rsidR="002A21B4" w:rsidRPr="00CC6E59" w:rsidRDefault="001177A9" w:rsidP="00CC1F3B">
      <w:pPr>
        <w:pStyle w:val="SectionBody"/>
        <w:rPr>
          <w:color w:val="auto"/>
          <w:u w:val="single"/>
        </w:rPr>
      </w:pPr>
      <w:r w:rsidRPr="00CC6E59">
        <w:rPr>
          <w:color w:val="auto"/>
          <w:u w:val="single"/>
        </w:rPr>
        <w:lastRenderedPageBreak/>
        <w:t xml:space="preserve">(b) </w:t>
      </w:r>
      <w:r w:rsidR="00DB55C4" w:rsidRPr="00CC6E59">
        <w:rPr>
          <w:i/>
          <w:iCs/>
          <w:color w:val="auto"/>
          <w:u w:val="single"/>
        </w:rPr>
        <w:t>One-year moratorium</w:t>
      </w:r>
      <w:r w:rsidR="00DB55C4" w:rsidRPr="00CC6E59">
        <w:rPr>
          <w:color w:val="auto"/>
          <w:u w:val="single"/>
        </w:rPr>
        <w:t xml:space="preserve">. – </w:t>
      </w:r>
      <w:r w:rsidRPr="00CC6E59">
        <w:rPr>
          <w:color w:val="auto"/>
          <w:u w:val="single"/>
        </w:rPr>
        <w:t>Notwithstanding any other provision of this chapter, for a period of one year following the effective date of this section, the commission shall authorize no increase of rates charged by any electric or gas utility subject to its jurisdiction to any customer of any class, and shall, for the same one-year period, suspend and hold in abeyance cases for electric and gas rate increases which are pending before the commission on said effective date.</w:t>
      </w:r>
      <w:r w:rsidR="00DB55C4" w:rsidRPr="00CC6E59">
        <w:rPr>
          <w:color w:val="auto"/>
          <w:u w:val="single"/>
        </w:rPr>
        <w:t xml:space="preserve"> The one-year moratorium on rate increases mandated by this section applies to any electric or gas utility rate increase, including, but not limited to</w:t>
      </w:r>
      <w:r w:rsidR="002A21B4" w:rsidRPr="00CC6E59">
        <w:rPr>
          <w:color w:val="auto"/>
          <w:u w:val="single"/>
        </w:rPr>
        <w:t>:</w:t>
      </w:r>
    </w:p>
    <w:p w14:paraId="44AC8B48" w14:textId="480908E3" w:rsidR="000D5966" w:rsidRPr="00CC6E59" w:rsidRDefault="002A21B4" w:rsidP="00CC1F3B">
      <w:pPr>
        <w:pStyle w:val="SectionBody"/>
        <w:rPr>
          <w:color w:val="auto"/>
          <w:u w:val="single"/>
        </w:rPr>
      </w:pPr>
      <w:r w:rsidRPr="00CC6E59">
        <w:rPr>
          <w:color w:val="auto"/>
          <w:u w:val="single"/>
        </w:rPr>
        <w:t xml:space="preserve">(1) Any general rate increase application filed pursuant to §24-2-1 </w:t>
      </w:r>
      <w:r w:rsidRPr="00CC6E59">
        <w:rPr>
          <w:i/>
          <w:iCs/>
          <w:color w:val="auto"/>
          <w:u w:val="single"/>
        </w:rPr>
        <w:t>et seq.</w:t>
      </w:r>
      <w:r w:rsidRPr="00CC6E59">
        <w:rPr>
          <w:color w:val="auto"/>
          <w:u w:val="single"/>
        </w:rPr>
        <w:t xml:space="preserve"> of this code;</w:t>
      </w:r>
    </w:p>
    <w:p w14:paraId="2FA338DA" w14:textId="6A164705" w:rsidR="002A21B4" w:rsidRPr="00CC6E59" w:rsidRDefault="002A21B4" w:rsidP="00CC1F3B">
      <w:pPr>
        <w:pStyle w:val="SectionBody"/>
        <w:rPr>
          <w:color w:val="auto"/>
          <w:u w:val="single"/>
        </w:rPr>
      </w:pPr>
      <w:r w:rsidRPr="00CC6E59">
        <w:rPr>
          <w:color w:val="auto"/>
          <w:u w:val="single"/>
        </w:rPr>
        <w:t>(2) Any automatic adjustment mechanism or other rate adjustment authorized by this code or by commission order which would result in an increase in rates or other charges to utility customers during the pendency of the one-year moratorium; and</w:t>
      </w:r>
    </w:p>
    <w:p w14:paraId="5206B2A3" w14:textId="6C24D3E1" w:rsidR="002A21B4" w:rsidRPr="00CC6E59" w:rsidRDefault="002A21B4" w:rsidP="00CC1F3B">
      <w:pPr>
        <w:pStyle w:val="SectionBody"/>
        <w:rPr>
          <w:color w:val="auto"/>
          <w:u w:val="single"/>
        </w:rPr>
      </w:pPr>
      <w:r w:rsidRPr="00CC6E59">
        <w:rPr>
          <w:color w:val="auto"/>
          <w:u w:val="single"/>
        </w:rPr>
        <w:t>(3) Any previously approved electric or gas utility rate increase that has not yet taken effect as of the effective date of this section.</w:t>
      </w:r>
    </w:p>
    <w:p w14:paraId="1CBA733D" w14:textId="532432C5" w:rsidR="00DB55C4" w:rsidRPr="00CC6E59" w:rsidRDefault="00DB55C4" w:rsidP="00CC1F3B">
      <w:pPr>
        <w:pStyle w:val="SectionBody"/>
        <w:rPr>
          <w:color w:val="auto"/>
          <w:u w:val="single"/>
        </w:rPr>
      </w:pPr>
      <w:r w:rsidRPr="00CC6E59">
        <w:rPr>
          <w:color w:val="auto"/>
          <w:u w:val="single"/>
        </w:rPr>
        <w:t xml:space="preserve">(c) </w:t>
      </w:r>
      <w:r w:rsidRPr="00CC6E59">
        <w:rPr>
          <w:i/>
          <w:iCs/>
          <w:color w:val="auto"/>
          <w:u w:val="single"/>
        </w:rPr>
        <w:t>Exceptions</w:t>
      </w:r>
      <w:r w:rsidRPr="00CC6E59">
        <w:rPr>
          <w:color w:val="auto"/>
          <w:u w:val="single"/>
        </w:rPr>
        <w:t xml:space="preserve">. – </w:t>
      </w:r>
      <w:r w:rsidR="002A21B4" w:rsidRPr="00CC6E59">
        <w:rPr>
          <w:color w:val="auto"/>
          <w:u w:val="single"/>
        </w:rPr>
        <w:t>During the one-year moratorium on rate increases mandated by this section, the commission may, upon petition by an electric or natural gas utility, authorize an emergency rate increase otherwise subject to the moratorium if it is determined that such emergency rate is necessary to:</w:t>
      </w:r>
    </w:p>
    <w:p w14:paraId="62BBEEA8" w14:textId="438DC751" w:rsidR="002A21B4" w:rsidRPr="00CC6E59" w:rsidRDefault="002A21B4" w:rsidP="00CC1F3B">
      <w:pPr>
        <w:pStyle w:val="SectionBody"/>
        <w:rPr>
          <w:color w:val="auto"/>
          <w:u w:val="single"/>
        </w:rPr>
      </w:pPr>
      <w:r w:rsidRPr="00CC6E59">
        <w:rPr>
          <w:color w:val="auto"/>
          <w:u w:val="single"/>
        </w:rPr>
        <w:t xml:space="preserve">(1) Ensure the continued provision of safe and adequate </w:t>
      </w:r>
      <w:r w:rsidR="002F5A41" w:rsidRPr="00CC6E59">
        <w:rPr>
          <w:color w:val="auto"/>
          <w:u w:val="single"/>
        </w:rPr>
        <w:t>electric or gas service to the utility’s customers; or</w:t>
      </w:r>
    </w:p>
    <w:p w14:paraId="63B51766" w14:textId="080E06FA" w:rsidR="002F5A41" w:rsidRPr="00CC6E59" w:rsidRDefault="002F5A41" w:rsidP="00CC1F3B">
      <w:pPr>
        <w:pStyle w:val="SectionBody"/>
        <w:rPr>
          <w:color w:val="auto"/>
          <w:u w:val="single"/>
        </w:rPr>
      </w:pPr>
      <w:r w:rsidRPr="00CC6E59">
        <w:rPr>
          <w:color w:val="auto"/>
          <w:u w:val="single"/>
        </w:rPr>
        <w:t>(2) Protect the utility from extreme financial hardship if such financial hardship is attributable solely to the moratorium on rate increases.</w:t>
      </w:r>
    </w:p>
    <w:p w14:paraId="49FE5EB1" w14:textId="732E1BDC" w:rsidR="002F5A41" w:rsidRPr="00CC6E59" w:rsidRDefault="002F5A41" w:rsidP="00CC1F3B">
      <w:pPr>
        <w:pStyle w:val="SectionBody"/>
        <w:rPr>
          <w:color w:val="auto"/>
          <w:u w:val="single"/>
        </w:rPr>
      </w:pPr>
      <w:r w:rsidRPr="00CC6E59">
        <w:rPr>
          <w:color w:val="auto"/>
          <w:u w:val="single"/>
        </w:rPr>
        <w:t>Any emergency rate increase authorized pursuant to this subsection shall by limited to the minimum amount necessary to address the reason requiring the rate increase. The commission shall promulgate rules setting forth criteria for determination of the continued provision of safe and adequate utility service and of a utility’s extreme financial hardship within the meaning of this section.</w:t>
      </w:r>
    </w:p>
    <w:p w14:paraId="1E9E5C0E" w14:textId="30222352" w:rsidR="00C33014" w:rsidRPr="00CC6E59" w:rsidRDefault="004C61FA" w:rsidP="004C61FA">
      <w:pPr>
        <w:pStyle w:val="SectionBody"/>
        <w:rPr>
          <w:color w:val="auto"/>
          <w:u w:val="single"/>
        </w:rPr>
      </w:pPr>
      <w:r w:rsidRPr="00CC6E59">
        <w:rPr>
          <w:color w:val="auto"/>
          <w:u w:val="single"/>
        </w:rPr>
        <w:lastRenderedPageBreak/>
        <w:t xml:space="preserve">(d) </w:t>
      </w:r>
      <w:r w:rsidRPr="00CC6E59">
        <w:rPr>
          <w:i/>
          <w:iCs/>
          <w:color w:val="auto"/>
          <w:u w:val="single"/>
        </w:rPr>
        <w:t>Interim study.</w:t>
      </w:r>
      <w:r w:rsidRPr="00CC6E59">
        <w:rPr>
          <w:color w:val="auto"/>
          <w:u w:val="single"/>
        </w:rPr>
        <w:t xml:space="preserve"> – During the one-year moratorium mandated by this section, the Joint Committee on Government and Finance shall cause a legislative interim study or studies to be conducted on utility management, rate design, and the causes of and potential legislative remedies for recent dramatic electric and natural gas utility rate increases shouldered by ratepayers in the state.</w:t>
      </w:r>
    </w:p>
    <w:p w14:paraId="3C3E3BC9" w14:textId="07262DC5" w:rsidR="006865E9" w:rsidRPr="00CC6E59" w:rsidRDefault="00CF1DCA" w:rsidP="00CC1F3B">
      <w:pPr>
        <w:pStyle w:val="Note"/>
        <w:rPr>
          <w:color w:val="auto"/>
        </w:rPr>
      </w:pPr>
      <w:r w:rsidRPr="00CC6E59">
        <w:rPr>
          <w:color w:val="auto"/>
        </w:rPr>
        <w:t>NOTE: The</w:t>
      </w:r>
      <w:r w:rsidR="006865E9" w:rsidRPr="00CC6E59">
        <w:rPr>
          <w:color w:val="auto"/>
        </w:rPr>
        <w:t xml:space="preserve"> purpose of this bill is to </w:t>
      </w:r>
      <w:r w:rsidR="004C61FA" w:rsidRPr="00CC6E59">
        <w:rPr>
          <w:color w:val="auto"/>
        </w:rPr>
        <w:t>require a one-year moratorium on electric and natural gas utility rate increases in West Virginia. The bill provides legislative findings, directs the Public Service Commission to implement the one-year moratorium, provides for exceptions to the moratorium for approving emergency rate increases, and requires a legislative interim study of electric and natural gas rate increases.</w:t>
      </w:r>
    </w:p>
    <w:p w14:paraId="3A88586D" w14:textId="77777777" w:rsidR="006865E9" w:rsidRPr="00CC6E59" w:rsidRDefault="00AE48A0" w:rsidP="00CC1F3B">
      <w:pPr>
        <w:pStyle w:val="Note"/>
        <w:rPr>
          <w:color w:val="auto"/>
        </w:rPr>
      </w:pPr>
      <w:r w:rsidRPr="00CC6E59">
        <w:rPr>
          <w:color w:val="auto"/>
        </w:rPr>
        <w:t>Strike-throughs indicate language that would be stricken from a heading or the present law and underscoring indicates new language that would be added.</w:t>
      </w:r>
    </w:p>
    <w:sectPr w:rsidR="006865E9" w:rsidRPr="00CC6E59" w:rsidSect="0040546B">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14CE9" w14:textId="77777777" w:rsidR="000D5966" w:rsidRPr="00B844FE" w:rsidRDefault="000D5966" w:rsidP="00B844FE">
      <w:r>
        <w:separator/>
      </w:r>
    </w:p>
  </w:endnote>
  <w:endnote w:type="continuationSeparator" w:id="0">
    <w:p w14:paraId="7A33AB60" w14:textId="77777777" w:rsidR="000D5966" w:rsidRPr="00B844FE" w:rsidRDefault="000D596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E684B6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2214F2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320841"/>
      <w:docPartObj>
        <w:docPartGallery w:val="Page Numbers (Bottom of Page)"/>
        <w:docPartUnique/>
      </w:docPartObj>
    </w:sdtPr>
    <w:sdtEndPr>
      <w:rPr>
        <w:noProof/>
      </w:rPr>
    </w:sdtEndPr>
    <w:sdtContent>
      <w:p w14:paraId="241C33A1" w14:textId="17CFAF09" w:rsidR="0040546B" w:rsidRDefault="0040546B">
        <w:pPr>
          <w:pStyle w:val="Footer"/>
          <w:jc w:val="center"/>
        </w:pPr>
        <w:r>
          <w:t>1</w:t>
        </w:r>
      </w:p>
    </w:sdtContent>
  </w:sdt>
  <w:p w14:paraId="796AF1E1" w14:textId="0D2B66A3"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F1A33" w14:textId="77777777" w:rsidR="002735D2" w:rsidRDefault="002735D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7772097"/>
      <w:docPartObj>
        <w:docPartGallery w:val="Page Numbers (Bottom of Page)"/>
        <w:docPartUnique/>
      </w:docPartObj>
    </w:sdtPr>
    <w:sdtEndPr>
      <w:rPr>
        <w:noProof/>
      </w:rPr>
    </w:sdtEndPr>
    <w:sdtContent>
      <w:p w14:paraId="51DC32AC" w14:textId="27E4EBB2" w:rsidR="0040546B" w:rsidRDefault="004054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B2BFD3" w14:textId="77777777" w:rsidR="0040546B" w:rsidRDefault="0040546B"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64F23" w14:textId="77777777" w:rsidR="000D5966" w:rsidRPr="00B844FE" w:rsidRDefault="000D5966" w:rsidP="00B844FE">
      <w:r>
        <w:separator/>
      </w:r>
    </w:p>
  </w:footnote>
  <w:footnote w:type="continuationSeparator" w:id="0">
    <w:p w14:paraId="7F8D4F4A" w14:textId="77777777" w:rsidR="000D5966" w:rsidRPr="00B844FE" w:rsidRDefault="000D596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E9FA" w14:textId="77777777" w:rsidR="002A0269" w:rsidRPr="00B844FE" w:rsidRDefault="00CD6A19">
    <w:pPr>
      <w:pStyle w:val="Header"/>
    </w:pPr>
    <w:sdt>
      <w:sdtPr>
        <w:id w:val="-684364211"/>
        <w:placeholder>
          <w:docPart w:val="D190A56C2D544F35865BDFACAF1ED08C"/>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D190A56C2D544F35865BDFACAF1ED08C"/>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FDA8" w14:textId="41C61F13" w:rsidR="00C33014" w:rsidRPr="0040546B" w:rsidRDefault="00AE48A0" w:rsidP="000573A9">
    <w:pPr>
      <w:pStyle w:val="HeaderStyle"/>
      <w:rPr>
        <w:sz w:val="22"/>
        <w:szCs w:val="22"/>
      </w:rPr>
    </w:pPr>
    <w:r w:rsidRPr="0040546B">
      <w:rPr>
        <w:sz w:val="22"/>
        <w:szCs w:val="22"/>
      </w:rPr>
      <w:t>I</w:t>
    </w:r>
    <w:r w:rsidR="001A66B7" w:rsidRPr="0040546B">
      <w:rPr>
        <w:sz w:val="22"/>
        <w:szCs w:val="22"/>
      </w:rPr>
      <w:t xml:space="preserve">ntr </w:t>
    </w:r>
    <w:sdt>
      <w:sdtPr>
        <w:rPr>
          <w:sz w:val="22"/>
          <w:szCs w:val="22"/>
        </w:rPr>
        <w:tag w:val="BNumWH"/>
        <w:id w:val="138549797"/>
        <w:showingPlcHdr/>
        <w:text/>
      </w:sdtPr>
      <w:sdtEndPr/>
      <w:sdtContent/>
    </w:sdt>
    <w:r w:rsidR="007A5259" w:rsidRPr="0040546B">
      <w:rPr>
        <w:sz w:val="22"/>
        <w:szCs w:val="22"/>
      </w:rPr>
      <w:t xml:space="preserve"> </w:t>
    </w:r>
    <w:r w:rsidR="0040546B" w:rsidRPr="0040546B">
      <w:rPr>
        <w:sz w:val="22"/>
        <w:szCs w:val="22"/>
      </w:rPr>
      <w:t>SB</w:t>
    </w:r>
    <w:r w:rsidR="002735D2">
      <w:rPr>
        <w:sz w:val="22"/>
        <w:szCs w:val="22"/>
      </w:rPr>
      <w:t xml:space="preserve"> 577</w:t>
    </w:r>
    <w:r w:rsidR="00C33014" w:rsidRPr="0040546B">
      <w:rPr>
        <w:sz w:val="22"/>
        <w:szCs w:val="22"/>
      </w:rPr>
      <w:ptab w:relativeTo="margin" w:alignment="center" w:leader="none"/>
    </w:r>
    <w:r w:rsidR="00C33014" w:rsidRPr="0040546B">
      <w:rPr>
        <w:sz w:val="22"/>
        <w:szCs w:val="22"/>
      </w:rPr>
      <w:tab/>
    </w:r>
    <w:sdt>
      <w:sdtPr>
        <w:rPr>
          <w:sz w:val="22"/>
          <w:szCs w:val="22"/>
        </w:rPr>
        <w:alias w:val="CBD Number"/>
        <w:tag w:val="CBD Number"/>
        <w:id w:val="1176923086"/>
        <w:lock w:val="sdtLocked"/>
        <w:text/>
      </w:sdtPr>
      <w:sdtEndPr/>
      <w:sdtContent>
        <w:r w:rsidR="0040546B" w:rsidRPr="0040546B">
          <w:rPr>
            <w:sz w:val="22"/>
            <w:szCs w:val="22"/>
          </w:rPr>
          <w:t>2026R2941</w:t>
        </w:r>
      </w:sdtContent>
    </w:sdt>
  </w:p>
  <w:p w14:paraId="58231675"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D40F" w14:textId="60057A60" w:rsidR="002A0269" w:rsidRPr="002A0269" w:rsidRDefault="00CD6A19"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9829E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966"/>
    <w:rsid w:val="0000526A"/>
    <w:rsid w:val="00051D37"/>
    <w:rsid w:val="000573A9"/>
    <w:rsid w:val="00085D22"/>
    <w:rsid w:val="000C5C77"/>
    <w:rsid w:val="000D5966"/>
    <w:rsid w:val="000E3912"/>
    <w:rsid w:val="0010070F"/>
    <w:rsid w:val="001143CA"/>
    <w:rsid w:val="001177A9"/>
    <w:rsid w:val="0015112E"/>
    <w:rsid w:val="001552E7"/>
    <w:rsid w:val="001566B4"/>
    <w:rsid w:val="001A66B7"/>
    <w:rsid w:val="001C279E"/>
    <w:rsid w:val="001D090F"/>
    <w:rsid w:val="001D459E"/>
    <w:rsid w:val="00241FEB"/>
    <w:rsid w:val="0027011C"/>
    <w:rsid w:val="002735D2"/>
    <w:rsid w:val="00274200"/>
    <w:rsid w:val="00275740"/>
    <w:rsid w:val="002A0269"/>
    <w:rsid w:val="002A21B4"/>
    <w:rsid w:val="002F5A41"/>
    <w:rsid w:val="00303684"/>
    <w:rsid w:val="003143F5"/>
    <w:rsid w:val="00314854"/>
    <w:rsid w:val="00357737"/>
    <w:rsid w:val="00394191"/>
    <w:rsid w:val="003B79DF"/>
    <w:rsid w:val="003C51CD"/>
    <w:rsid w:val="00402B5E"/>
    <w:rsid w:val="0040546B"/>
    <w:rsid w:val="0041188F"/>
    <w:rsid w:val="004368E0"/>
    <w:rsid w:val="00463B4B"/>
    <w:rsid w:val="00496E8C"/>
    <w:rsid w:val="004C13DD"/>
    <w:rsid w:val="004C61FA"/>
    <w:rsid w:val="004D2CC5"/>
    <w:rsid w:val="004E3441"/>
    <w:rsid w:val="004E5940"/>
    <w:rsid w:val="00500579"/>
    <w:rsid w:val="005629D0"/>
    <w:rsid w:val="00575F35"/>
    <w:rsid w:val="005A5366"/>
    <w:rsid w:val="005D7E17"/>
    <w:rsid w:val="006210B7"/>
    <w:rsid w:val="00631340"/>
    <w:rsid w:val="006369EB"/>
    <w:rsid w:val="00637E73"/>
    <w:rsid w:val="006865E9"/>
    <w:rsid w:val="00691F3E"/>
    <w:rsid w:val="00694BFB"/>
    <w:rsid w:val="006A106B"/>
    <w:rsid w:val="006C523D"/>
    <w:rsid w:val="006D4036"/>
    <w:rsid w:val="00743F31"/>
    <w:rsid w:val="00744BCE"/>
    <w:rsid w:val="0076671C"/>
    <w:rsid w:val="00790A56"/>
    <w:rsid w:val="007A21BA"/>
    <w:rsid w:val="007A5259"/>
    <w:rsid w:val="007A7081"/>
    <w:rsid w:val="007F1CF5"/>
    <w:rsid w:val="007F29DD"/>
    <w:rsid w:val="00834EDE"/>
    <w:rsid w:val="008736AA"/>
    <w:rsid w:val="008D275D"/>
    <w:rsid w:val="009424BA"/>
    <w:rsid w:val="0095493D"/>
    <w:rsid w:val="00980327"/>
    <w:rsid w:val="009829E4"/>
    <w:rsid w:val="00986478"/>
    <w:rsid w:val="009B5557"/>
    <w:rsid w:val="009F1067"/>
    <w:rsid w:val="00A31E01"/>
    <w:rsid w:val="00A527AD"/>
    <w:rsid w:val="00A718CF"/>
    <w:rsid w:val="00AB0024"/>
    <w:rsid w:val="00AE48A0"/>
    <w:rsid w:val="00AE61BE"/>
    <w:rsid w:val="00B16F25"/>
    <w:rsid w:val="00B237F9"/>
    <w:rsid w:val="00B24422"/>
    <w:rsid w:val="00B66B81"/>
    <w:rsid w:val="00B80C20"/>
    <w:rsid w:val="00B844FE"/>
    <w:rsid w:val="00B86B4F"/>
    <w:rsid w:val="00BA1F84"/>
    <w:rsid w:val="00BC562B"/>
    <w:rsid w:val="00C158FA"/>
    <w:rsid w:val="00C32FED"/>
    <w:rsid w:val="00C33014"/>
    <w:rsid w:val="00C33434"/>
    <w:rsid w:val="00C34869"/>
    <w:rsid w:val="00C42424"/>
    <w:rsid w:val="00C42EB6"/>
    <w:rsid w:val="00C85096"/>
    <w:rsid w:val="00CB20EF"/>
    <w:rsid w:val="00CC1F3B"/>
    <w:rsid w:val="00CC6E59"/>
    <w:rsid w:val="00CD12CB"/>
    <w:rsid w:val="00CD36CF"/>
    <w:rsid w:val="00CD6A19"/>
    <w:rsid w:val="00CE2105"/>
    <w:rsid w:val="00CF1DCA"/>
    <w:rsid w:val="00D579FC"/>
    <w:rsid w:val="00D81C16"/>
    <w:rsid w:val="00D932D6"/>
    <w:rsid w:val="00DB55C4"/>
    <w:rsid w:val="00DC5A3C"/>
    <w:rsid w:val="00DE526B"/>
    <w:rsid w:val="00DF199D"/>
    <w:rsid w:val="00E01542"/>
    <w:rsid w:val="00E365F1"/>
    <w:rsid w:val="00E54DD8"/>
    <w:rsid w:val="00E62F48"/>
    <w:rsid w:val="00E831B3"/>
    <w:rsid w:val="00E95FBC"/>
    <w:rsid w:val="00EE70CB"/>
    <w:rsid w:val="00F11057"/>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3F80A"/>
  <w15:chartTrackingRefBased/>
  <w15:docId w15:val="{0A1FBD56-2108-44A9-8D69-1FCB8B04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7"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6">
    <w:name w:val="heading 6"/>
    <w:basedOn w:val="Normal"/>
    <w:next w:val="Normal"/>
    <w:link w:val="Heading6Char"/>
    <w:uiPriority w:val="7"/>
    <w:qFormat/>
    <w:locked/>
    <w:rsid w:val="000D5966"/>
    <w:pPr>
      <w:keepNext/>
      <w:keepLines/>
      <w:suppressLineNumbers/>
      <w:spacing w:before="160" w:after="200" w:line="240" w:lineRule="auto"/>
      <w:jc w:val="both"/>
      <w:outlineLvl w:val="5"/>
    </w:pPr>
    <w:rPr>
      <w:rFonts w:asciiTheme="majorHAnsi" w:eastAsiaTheme="majorEastAsia" w:hAnsiTheme="majorHAnsi" w:cstheme="majorBidi"/>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6Char">
    <w:name w:val="Heading 6 Char"/>
    <w:basedOn w:val="DefaultParagraphFont"/>
    <w:link w:val="Heading6"/>
    <w:uiPriority w:val="7"/>
    <w:rsid w:val="000D5966"/>
    <w:rPr>
      <w:rFonts w:asciiTheme="majorHAnsi" w:eastAsiaTheme="majorEastAsia" w:hAnsiTheme="majorHAnsi" w:cstheme="majorBidi"/>
      <w:color w:val="C00000"/>
    </w:rPr>
  </w:style>
  <w:style w:type="character" w:customStyle="1" w:styleId="SectionHeadingChar">
    <w:name w:val="Section Heading Char"/>
    <w:link w:val="SectionHeading"/>
    <w:rsid w:val="000D5966"/>
    <w:rPr>
      <w:rFonts w:eastAsia="Calibri"/>
      <w:b/>
      <w:color w:val="000000"/>
    </w:rPr>
  </w:style>
  <w:style w:type="character" w:customStyle="1" w:styleId="SectionBodyChar">
    <w:name w:val="Section Body Char"/>
    <w:link w:val="SectionBody"/>
    <w:rsid w:val="000D596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FA54775F5A4D0FA8DE8A1A69C7CEF0"/>
        <w:category>
          <w:name w:val="General"/>
          <w:gallery w:val="placeholder"/>
        </w:category>
        <w:types>
          <w:type w:val="bbPlcHdr"/>
        </w:types>
        <w:behaviors>
          <w:behavior w:val="content"/>
        </w:behaviors>
        <w:guid w:val="{3D0F0B1C-75E0-4F8F-B7B7-B59877A1D175}"/>
      </w:docPartPr>
      <w:docPartBody>
        <w:p w:rsidR="00610ABB" w:rsidRDefault="00610ABB">
          <w:pPr>
            <w:pStyle w:val="2CFA54775F5A4D0FA8DE8A1A69C7CEF0"/>
          </w:pPr>
          <w:r w:rsidRPr="00B844FE">
            <w:t>Prefix Text</w:t>
          </w:r>
        </w:p>
      </w:docPartBody>
    </w:docPart>
    <w:docPart>
      <w:docPartPr>
        <w:name w:val="D190A56C2D544F35865BDFACAF1ED08C"/>
        <w:category>
          <w:name w:val="General"/>
          <w:gallery w:val="placeholder"/>
        </w:category>
        <w:types>
          <w:type w:val="bbPlcHdr"/>
        </w:types>
        <w:behaviors>
          <w:behavior w:val="content"/>
        </w:behaviors>
        <w:guid w:val="{9D3BE60C-7604-4952-8C92-2C93B6DB28A0}"/>
      </w:docPartPr>
      <w:docPartBody>
        <w:p w:rsidR="00610ABB" w:rsidRDefault="00610ABB">
          <w:pPr>
            <w:pStyle w:val="D190A56C2D544F35865BDFACAF1ED08C"/>
          </w:pPr>
          <w:r w:rsidRPr="00B844FE">
            <w:t>[Type here]</w:t>
          </w:r>
        </w:p>
      </w:docPartBody>
    </w:docPart>
    <w:docPart>
      <w:docPartPr>
        <w:name w:val="A8AC6441D4A24B7C85140A989DCA03BD"/>
        <w:category>
          <w:name w:val="General"/>
          <w:gallery w:val="placeholder"/>
        </w:category>
        <w:types>
          <w:type w:val="bbPlcHdr"/>
        </w:types>
        <w:behaviors>
          <w:behavior w:val="content"/>
        </w:behaviors>
        <w:guid w:val="{FE179F87-E3F4-4DC9-915E-6AC7046D158A}"/>
      </w:docPartPr>
      <w:docPartBody>
        <w:p w:rsidR="00610ABB" w:rsidRDefault="00610ABB">
          <w:pPr>
            <w:pStyle w:val="A8AC6441D4A24B7C85140A989DCA03BD"/>
          </w:pPr>
          <w:r w:rsidRPr="00B844FE">
            <w:t>Number</w:t>
          </w:r>
        </w:p>
      </w:docPartBody>
    </w:docPart>
    <w:docPart>
      <w:docPartPr>
        <w:name w:val="1D10249D01B0471A8C382DAC39536BA2"/>
        <w:category>
          <w:name w:val="General"/>
          <w:gallery w:val="placeholder"/>
        </w:category>
        <w:types>
          <w:type w:val="bbPlcHdr"/>
        </w:types>
        <w:behaviors>
          <w:behavior w:val="content"/>
        </w:behaviors>
        <w:guid w:val="{CB571475-4DED-4AEB-AFAA-04371524BCBC}"/>
      </w:docPartPr>
      <w:docPartBody>
        <w:p w:rsidR="00610ABB" w:rsidRDefault="00610ABB">
          <w:pPr>
            <w:pStyle w:val="1D10249D01B0471A8C382DAC39536BA2"/>
          </w:pPr>
          <w:r w:rsidRPr="00B844FE">
            <w:t>Enter Sponsors Here</w:t>
          </w:r>
        </w:p>
      </w:docPartBody>
    </w:docPart>
    <w:docPart>
      <w:docPartPr>
        <w:name w:val="57B8762F6A61446D85C64B21DAB5D3F8"/>
        <w:category>
          <w:name w:val="General"/>
          <w:gallery w:val="placeholder"/>
        </w:category>
        <w:types>
          <w:type w:val="bbPlcHdr"/>
        </w:types>
        <w:behaviors>
          <w:behavior w:val="content"/>
        </w:behaviors>
        <w:guid w:val="{5F82917F-387A-4B6A-87A8-D0F3AC0B38B1}"/>
      </w:docPartPr>
      <w:docPartBody>
        <w:p w:rsidR="00610ABB" w:rsidRDefault="00610ABB">
          <w:pPr>
            <w:pStyle w:val="57B8762F6A61446D85C64B21DAB5D3F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ABB"/>
    <w:rsid w:val="00357737"/>
    <w:rsid w:val="00402B5E"/>
    <w:rsid w:val="0041188F"/>
    <w:rsid w:val="00496E8C"/>
    <w:rsid w:val="00610ABB"/>
    <w:rsid w:val="00631340"/>
    <w:rsid w:val="00744BCE"/>
    <w:rsid w:val="0076671C"/>
    <w:rsid w:val="007A21BA"/>
    <w:rsid w:val="0095493D"/>
    <w:rsid w:val="00B237F9"/>
    <w:rsid w:val="00D932D6"/>
    <w:rsid w:val="00E5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CFA54775F5A4D0FA8DE8A1A69C7CEF0">
    <w:name w:val="2CFA54775F5A4D0FA8DE8A1A69C7CEF0"/>
  </w:style>
  <w:style w:type="paragraph" w:customStyle="1" w:styleId="D190A56C2D544F35865BDFACAF1ED08C">
    <w:name w:val="D190A56C2D544F35865BDFACAF1ED08C"/>
  </w:style>
  <w:style w:type="paragraph" w:customStyle="1" w:styleId="A8AC6441D4A24B7C85140A989DCA03BD">
    <w:name w:val="A8AC6441D4A24B7C85140A989DCA03BD"/>
  </w:style>
  <w:style w:type="paragraph" w:customStyle="1" w:styleId="1D10249D01B0471A8C382DAC39536BA2">
    <w:name w:val="1D10249D01B0471A8C382DAC39536BA2"/>
  </w:style>
  <w:style w:type="character" w:styleId="PlaceholderText">
    <w:name w:val="Placeholder Text"/>
    <w:basedOn w:val="DefaultParagraphFont"/>
    <w:uiPriority w:val="99"/>
    <w:semiHidden/>
    <w:rPr>
      <w:color w:val="808080"/>
    </w:rPr>
  </w:style>
  <w:style w:type="paragraph" w:customStyle="1" w:styleId="57B8762F6A61446D85C64B21DAB5D3F8">
    <w:name w:val="57B8762F6A61446D85C64B21DAB5D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14</TotalTime>
  <Pages>4</Pages>
  <Words>794</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Wolfe</dc:creator>
  <cp:keywords/>
  <dc:description/>
  <cp:lastModifiedBy>Dominic Lisi</cp:lastModifiedBy>
  <cp:revision>10</cp:revision>
  <dcterms:created xsi:type="dcterms:W3CDTF">2026-01-17T19:10:00Z</dcterms:created>
  <dcterms:modified xsi:type="dcterms:W3CDTF">2026-01-21T19:20:00Z</dcterms:modified>
</cp:coreProperties>
</file>